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5C" w:rsidRDefault="001A635C" w:rsidP="001A635C">
      <w:pPr>
        <w:widowControl w:val="0"/>
        <w:adjustRightInd w:val="0"/>
        <w:snapToGrid w:val="0"/>
        <w:spacing w:before="0" w:after="0" w:line="360" w:lineRule="auto"/>
        <w:jc w:val="center"/>
        <w:textAlignment w:val="baseline"/>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t>“社保政策你我他”宣传解读连载</w:t>
      </w:r>
    </w:p>
    <w:p w:rsidR="001A635C" w:rsidRDefault="001A635C" w:rsidP="001A635C">
      <w:pPr>
        <w:widowControl w:val="0"/>
        <w:adjustRightInd w:val="0"/>
        <w:snapToGrid w:val="0"/>
        <w:spacing w:before="0" w:after="0" w:line="360" w:lineRule="auto"/>
        <w:jc w:val="center"/>
        <w:rPr>
          <w:rFonts w:ascii="FangSong_GB2312" w:hAnsi="FangSong_GB2312" w:cs="FangSong_GB2312"/>
          <w:color w:val="000000"/>
          <w:spacing w:val="-3"/>
          <w:sz w:val="30"/>
          <w:lang w:eastAsia="zh-CN"/>
        </w:rPr>
      </w:pPr>
      <w:r>
        <w:rPr>
          <w:rFonts w:ascii="QOHUTN+FZXBSJW--GB1-0" w:hAnsi="QOHUTN+FZXBSJW--GB1-0" w:cs="QOHUTN+FZXBSJW--GB1-0" w:hint="eastAsia"/>
          <w:color w:val="000000"/>
          <w:spacing w:val="-4"/>
          <w:sz w:val="44"/>
          <w:lang w:eastAsia="zh-CN"/>
        </w:rPr>
        <w:t>（待遇计发部分</w:t>
      </w:r>
      <w:r w:rsidRPr="001A635C">
        <w:rPr>
          <w:rFonts w:asciiTheme="minorEastAsia" w:hAnsiTheme="minorEastAsia" w:cs="QOHUTN+FZXBSJW--GB1-0" w:hint="eastAsia"/>
          <w:color w:val="000000"/>
          <w:spacing w:val="-4"/>
          <w:sz w:val="44"/>
          <w:lang w:eastAsia="zh-CN"/>
        </w:rPr>
        <w:t>Ⅱ</w:t>
      </w:r>
      <w:r>
        <w:rPr>
          <w:rFonts w:ascii="QOHUTN+FZXBSJW--GB1-0" w:hAnsi="QOHUTN+FZXBSJW--GB1-0" w:cs="QOHUTN+FZXBSJW--GB1-0" w:hint="eastAsia"/>
          <w:color w:val="000000"/>
          <w:spacing w:val="-4"/>
          <w:sz w:val="44"/>
          <w:lang w:eastAsia="zh-CN"/>
        </w:rPr>
        <w:t>）</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11、企业职工被判处刑罚后能否办理退休手续？</w:t>
      </w:r>
    </w:p>
    <w:p w:rsidR="001A635C" w:rsidRPr="00D259B5" w:rsidRDefault="001A635C" w:rsidP="00D259B5">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5"/>
          <w:sz w:val="32"/>
          <w:szCs w:val="32"/>
          <w:lang w:eastAsia="zh-CN"/>
        </w:rPr>
        <w:t>答：参加职工基本养老保险的人员被判处拘役以上刑罚的，服刑期间达到法定退休年龄的，暂缓办理退休手续，待服刑期满后正式办理退休手续，按规定享受基本养老保险待遇。被判有期徒刑缓刑期间可办理退休手续，个人账户的处理和缴费年限的计算可与其他职工相</w:t>
      </w:r>
      <w:r w:rsidRPr="00D259B5">
        <w:rPr>
          <w:rFonts w:ascii="仿宋_GB2312" w:eastAsia="仿宋_GB2312" w:hAnsi="FangSong_GB2312" w:cs="FangSong_GB2312" w:hint="eastAsia"/>
          <w:color w:val="000000"/>
          <w:spacing w:val="-4"/>
          <w:sz w:val="32"/>
          <w:szCs w:val="32"/>
          <w:lang w:eastAsia="zh-CN"/>
        </w:rPr>
        <w:t>同。</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12、职工达到法定退休年龄，缴费年限不足</w:t>
      </w:r>
      <w:r w:rsidRPr="00D259B5">
        <w:rPr>
          <w:rFonts w:ascii="仿宋_GB2312" w:eastAsia="仿宋_GB2312" w:hint="eastAsia"/>
          <w:b/>
          <w:color w:val="000000"/>
          <w:spacing w:val="-36"/>
          <w:sz w:val="32"/>
          <w:szCs w:val="32"/>
          <w:lang w:eastAsia="zh-CN"/>
        </w:rPr>
        <w:t xml:space="preserve"> </w:t>
      </w:r>
      <w:r w:rsidRPr="00D259B5">
        <w:rPr>
          <w:rFonts w:ascii="仿宋_GB2312" w:eastAsia="仿宋_GB2312" w:hint="eastAsia"/>
          <w:b/>
          <w:color w:val="000000"/>
          <w:spacing w:val="-3"/>
          <w:sz w:val="32"/>
          <w:szCs w:val="32"/>
          <w:lang w:eastAsia="zh-CN"/>
        </w:rPr>
        <w:t>15</w:t>
      </w:r>
      <w:r w:rsidRPr="00D259B5">
        <w:rPr>
          <w:rFonts w:ascii="仿宋_GB2312" w:eastAsia="仿宋_GB2312" w:hint="eastAsia"/>
          <w:b/>
          <w:color w:val="000000"/>
          <w:spacing w:val="-34"/>
          <w:sz w:val="32"/>
          <w:szCs w:val="32"/>
          <w:lang w:eastAsia="zh-CN"/>
        </w:rPr>
        <w:t xml:space="preserve"> </w:t>
      </w:r>
      <w:r w:rsidRPr="00D259B5">
        <w:rPr>
          <w:rFonts w:ascii="仿宋_GB2312" w:eastAsia="仿宋_GB2312" w:hAnsi="FangSong_GB2312" w:cs="FangSong_GB2312" w:hint="eastAsia"/>
          <w:b/>
          <w:color w:val="000000"/>
          <w:spacing w:val="-3"/>
          <w:sz w:val="32"/>
          <w:szCs w:val="32"/>
          <w:lang w:eastAsia="zh-CN"/>
        </w:rPr>
        <w:t>年，能否办理退休手续？</w:t>
      </w:r>
    </w:p>
    <w:p w:rsidR="00D259B5" w:rsidRDefault="001A635C" w:rsidP="00D259B5">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D259B5">
        <w:rPr>
          <w:rFonts w:ascii="仿宋_GB2312" w:eastAsia="仿宋_GB2312" w:hAnsi="FangSong_GB2312" w:cs="FangSong_GB2312" w:hint="eastAsia"/>
          <w:color w:val="000000"/>
          <w:spacing w:val="-5"/>
          <w:sz w:val="32"/>
          <w:szCs w:val="32"/>
          <w:lang w:eastAsia="zh-CN"/>
        </w:rPr>
        <w:t>答：参加职工基本养老保险的个人达到法定退休年龄时，累计缴</w:t>
      </w:r>
      <w:r w:rsidRPr="00D259B5">
        <w:rPr>
          <w:rFonts w:ascii="仿宋_GB2312" w:eastAsia="仿宋_GB2312" w:hAnsi="FangSong_GB2312" w:cs="FangSong_GB2312" w:hint="eastAsia"/>
          <w:color w:val="000000"/>
          <w:spacing w:val="-10"/>
          <w:sz w:val="32"/>
          <w:szCs w:val="32"/>
          <w:lang w:eastAsia="zh-CN"/>
        </w:rPr>
        <w:t>费不足十五年的，可以延长缴费至满十五年。社会保险法实施前参保、</w:t>
      </w:r>
      <w:r w:rsidRPr="00D259B5">
        <w:rPr>
          <w:rFonts w:ascii="仿宋_GB2312" w:eastAsia="仿宋_GB2312" w:hAnsi="FangSong_GB2312" w:cs="FangSong_GB2312" w:hint="eastAsia"/>
          <w:color w:val="000000"/>
          <w:spacing w:val="-4"/>
          <w:sz w:val="32"/>
          <w:szCs w:val="32"/>
          <w:lang w:eastAsia="zh-CN"/>
        </w:rPr>
        <w:t>延长缴费五年后仍不足十五年的，可以一次性缴费至满十五年。</w:t>
      </w:r>
    </w:p>
    <w:p w:rsidR="001A635C" w:rsidRPr="00D259B5" w:rsidRDefault="001A635C" w:rsidP="00D259B5">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5"/>
          <w:sz w:val="32"/>
          <w:szCs w:val="32"/>
          <w:lang w:eastAsia="zh-CN"/>
        </w:rPr>
        <w:t>参加职工基本养老保险的个人达到法定退休年龄后，累计缴费不足十五年的，可以申请转入户籍所在地居民养老保险，享受相应的养老保险待遇。个人也可以书面申请终止职工基本养老保险关系，由社</w:t>
      </w:r>
      <w:r w:rsidRPr="00D259B5">
        <w:rPr>
          <w:rFonts w:ascii="仿宋_GB2312" w:eastAsia="仿宋_GB2312" w:hAnsi="FangSong_GB2312" w:cs="FangSong_GB2312" w:hint="eastAsia"/>
          <w:color w:val="000000"/>
          <w:spacing w:val="-4"/>
          <w:sz w:val="32"/>
          <w:szCs w:val="32"/>
          <w:lang w:eastAsia="zh-CN"/>
        </w:rPr>
        <w:t>保经办机构将个人账户储存额一次性支付给本人。</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13、企业职工因病或非因工死亡待遇是如何规定的？</w:t>
      </w:r>
    </w:p>
    <w:p w:rsidR="00D259B5" w:rsidRDefault="001A635C" w:rsidP="00D259B5">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3"/>
          <w:sz w:val="32"/>
          <w:szCs w:val="32"/>
          <w:lang w:eastAsia="zh-CN"/>
        </w:rPr>
      </w:pPr>
      <w:r w:rsidRPr="00D259B5">
        <w:rPr>
          <w:rFonts w:ascii="仿宋_GB2312" w:eastAsia="仿宋_GB2312" w:hAnsi="FangSong_GB2312" w:cs="FangSong_GB2312" w:hint="eastAsia"/>
          <w:color w:val="000000"/>
          <w:spacing w:val="-5"/>
          <w:sz w:val="32"/>
          <w:szCs w:val="32"/>
          <w:lang w:eastAsia="zh-CN"/>
        </w:rPr>
        <w:t>答：根据国家和我省规定，企业职工（含离退休人员）因病或非因工死亡后，主要给予丧葬补助费、一次性救济费和供</w:t>
      </w:r>
      <w:r w:rsidRPr="00D259B5">
        <w:rPr>
          <w:rFonts w:ascii="仿宋_GB2312" w:eastAsia="仿宋_GB2312" w:hAnsi="FangSong_GB2312" w:cs="FangSong_GB2312" w:hint="eastAsia"/>
          <w:color w:val="000000"/>
          <w:spacing w:val="-5"/>
          <w:sz w:val="32"/>
          <w:szCs w:val="32"/>
          <w:lang w:eastAsia="zh-CN"/>
        </w:rPr>
        <w:lastRenderedPageBreak/>
        <w:t>养直系亲属生</w:t>
      </w:r>
      <w:r w:rsidRPr="00D259B5">
        <w:rPr>
          <w:rFonts w:ascii="仿宋_GB2312" w:eastAsia="仿宋_GB2312" w:hAnsi="FangSong_GB2312" w:cs="FangSong_GB2312" w:hint="eastAsia"/>
          <w:color w:val="000000"/>
          <w:spacing w:val="-4"/>
          <w:sz w:val="32"/>
          <w:szCs w:val="32"/>
          <w:lang w:eastAsia="zh-CN"/>
        </w:rPr>
        <w:t>活困难补助。我省现行标准是：1、丧葬补助费，每人</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int="eastAsia"/>
          <w:color w:val="000000"/>
          <w:spacing w:val="-3"/>
          <w:sz w:val="32"/>
          <w:szCs w:val="32"/>
          <w:lang w:eastAsia="zh-CN"/>
        </w:rPr>
        <w:t>1000</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Ansi="FangSong_GB2312" w:cs="FangSong_GB2312" w:hint="eastAsia"/>
          <w:color w:val="000000"/>
          <w:spacing w:val="-4"/>
          <w:sz w:val="32"/>
          <w:szCs w:val="32"/>
          <w:lang w:eastAsia="zh-CN"/>
        </w:rPr>
        <w:t>元；2、</w:t>
      </w:r>
      <w:r w:rsidRPr="00D259B5">
        <w:rPr>
          <w:rFonts w:ascii="仿宋_GB2312" w:eastAsia="仿宋_GB2312" w:hAnsi="FangSong_GB2312" w:cs="FangSong_GB2312" w:hint="eastAsia"/>
          <w:color w:val="000000"/>
          <w:spacing w:val="-5"/>
          <w:sz w:val="32"/>
          <w:szCs w:val="32"/>
          <w:lang w:eastAsia="zh-CN"/>
        </w:rPr>
        <w:t>一次性救济费，按</w:t>
      </w:r>
      <w:r w:rsidRPr="00D259B5">
        <w:rPr>
          <w:rFonts w:ascii="仿宋_GB2312" w:eastAsia="仿宋_GB2312" w:hint="eastAsia"/>
          <w:color w:val="000000"/>
          <w:spacing w:val="-79"/>
          <w:sz w:val="32"/>
          <w:szCs w:val="32"/>
          <w:lang w:eastAsia="zh-CN"/>
        </w:rPr>
        <w:t xml:space="preserve"> </w:t>
      </w:r>
      <w:r w:rsidRPr="00D259B5">
        <w:rPr>
          <w:rFonts w:ascii="仿宋_GB2312" w:eastAsia="仿宋_GB2312" w:hint="eastAsia"/>
          <w:color w:val="000000"/>
          <w:spacing w:val="-1"/>
          <w:sz w:val="32"/>
          <w:szCs w:val="32"/>
          <w:lang w:eastAsia="zh-CN"/>
        </w:rPr>
        <w:t>10</w:t>
      </w:r>
      <w:r w:rsidRPr="00D259B5">
        <w:rPr>
          <w:rFonts w:ascii="仿宋_GB2312" w:eastAsia="仿宋_GB2312" w:hint="eastAsia"/>
          <w:color w:val="000000"/>
          <w:spacing w:val="-78"/>
          <w:sz w:val="32"/>
          <w:szCs w:val="32"/>
          <w:lang w:eastAsia="zh-CN"/>
        </w:rPr>
        <w:t xml:space="preserve"> </w:t>
      </w:r>
      <w:proofErr w:type="gramStart"/>
      <w:r w:rsidRPr="00D259B5">
        <w:rPr>
          <w:rFonts w:ascii="仿宋_GB2312" w:eastAsia="仿宋_GB2312" w:hAnsi="FangSong_GB2312" w:cs="FangSong_GB2312" w:hint="eastAsia"/>
          <w:color w:val="000000"/>
          <w:spacing w:val="-5"/>
          <w:sz w:val="32"/>
          <w:szCs w:val="32"/>
          <w:lang w:eastAsia="zh-CN"/>
        </w:rPr>
        <w:t>个</w:t>
      </w:r>
      <w:proofErr w:type="gramEnd"/>
      <w:r w:rsidRPr="00D259B5">
        <w:rPr>
          <w:rFonts w:ascii="仿宋_GB2312" w:eastAsia="仿宋_GB2312" w:hAnsi="FangSong_GB2312" w:cs="FangSong_GB2312" w:hint="eastAsia"/>
          <w:color w:val="000000"/>
          <w:spacing w:val="-5"/>
          <w:sz w:val="32"/>
          <w:szCs w:val="32"/>
          <w:lang w:eastAsia="zh-CN"/>
        </w:rPr>
        <w:t>月全省上年度职工月平均工资确定；3、供养直系亲属生活困难补助，根据企业所在地每人每月为</w:t>
      </w:r>
      <w:r w:rsidRPr="00D259B5">
        <w:rPr>
          <w:rFonts w:ascii="仿宋_GB2312" w:eastAsia="仿宋_GB2312" w:hint="eastAsia"/>
          <w:color w:val="000000"/>
          <w:spacing w:val="-79"/>
          <w:sz w:val="32"/>
          <w:szCs w:val="32"/>
          <w:lang w:eastAsia="zh-CN"/>
        </w:rPr>
        <w:t xml:space="preserve"> </w:t>
      </w:r>
      <w:r w:rsidRPr="00D259B5">
        <w:rPr>
          <w:rFonts w:ascii="仿宋_GB2312" w:eastAsia="仿宋_GB2312" w:hint="eastAsia"/>
          <w:color w:val="000000"/>
          <w:spacing w:val="-2"/>
          <w:sz w:val="32"/>
          <w:szCs w:val="32"/>
          <w:lang w:eastAsia="zh-CN"/>
        </w:rPr>
        <w:t>430</w:t>
      </w:r>
      <w:r w:rsidRPr="00D259B5">
        <w:rPr>
          <w:rFonts w:ascii="仿宋_GB2312" w:eastAsia="仿宋_GB2312" w:hint="eastAsia"/>
          <w:color w:val="000000"/>
          <w:spacing w:val="-78"/>
          <w:sz w:val="32"/>
          <w:szCs w:val="32"/>
          <w:lang w:eastAsia="zh-CN"/>
        </w:rPr>
        <w:t xml:space="preserve"> </w:t>
      </w:r>
      <w:r w:rsidRPr="00D259B5">
        <w:rPr>
          <w:rFonts w:ascii="仿宋_GB2312" w:eastAsia="仿宋_GB2312" w:hAnsi="FangSong_GB2312" w:cs="FangSong_GB2312" w:hint="eastAsia"/>
          <w:color w:val="000000"/>
          <w:spacing w:val="-2"/>
          <w:sz w:val="32"/>
          <w:szCs w:val="32"/>
          <w:lang w:eastAsia="zh-CN"/>
        </w:rPr>
        <w:t>元至</w:t>
      </w:r>
      <w:r w:rsidRPr="00D259B5">
        <w:rPr>
          <w:rFonts w:ascii="仿宋_GB2312" w:eastAsia="仿宋_GB2312" w:hint="eastAsia"/>
          <w:color w:val="000000"/>
          <w:spacing w:val="-79"/>
          <w:sz w:val="32"/>
          <w:szCs w:val="32"/>
          <w:lang w:eastAsia="zh-CN"/>
        </w:rPr>
        <w:t xml:space="preserve"> </w:t>
      </w:r>
      <w:r w:rsidRPr="00D259B5">
        <w:rPr>
          <w:rFonts w:ascii="仿宋_GB2312" w:eastAsia="仿宋_GB2312" w:hint="eastAsia"/>
          <w:color w:val="000000"/>
          <w:spacing w:val="-2"/>
          <w:sz w:val="32"/>
          <w:szCs w:val="32"/>
          <w:lang w:eastAsia="zh-CN"/>
        </w:rPr>
        <w:t>530</w:t>
      </w:r>
      <w:r w:rsidRPr="00D259B5">
        <w:rPr>
          <w:rFonts w:ascii="仿宋_GB2312" w:eastAsia="仿宋_GB2312" w:hint="eastAsia"/>
          <w:color w:val="000000"/>
          <w:spacing w:val="-78"/>
          <w:sz w:val="32"/>
          <w:szCs w:val="32"/>
          <w:lang w:eastAsia="zh-CN"/>
        </w:rPr>
        <w:t xml:space="preserve"> </w:t>
      </w:r>
      <w:r w:rsidRPr="00D259B5">
        <w:rPr>
          <w:rFonts w:ascii="仿宋_GB2312" w:eastAsia="仿宋_GB2312" w:hAnsi="FangSong_GB2312" w:cs="FangSong_GB2312" w:hint="eastAsia"/>
          <w:color w:val="000000"/>
          <w:sz w:val="32"/>
          <w:szCs w:val="32"/>
          <w:lang w:eastAsia="zh-CN"/>
        </w:rPr>
        <w:t>元</w:t>
      </w:r>
      <w:r w:rsidRPr="00D259B5">
        <w:rPr>
          <w:rFonts w:ascii="仿宋_GB2312" w:eastAsia="仿宋_GB2312" w:hAnsi="FangSong_GB2312" w:cs="FangSong_GB2312" w:hint="eastAsia"/>
          <w:color w:val="000000"/>
          <w:spacing w:val="-5"/>
          <w:sz w:val="32"/>
          <w:szCs w:val="32"/>
          <w:lang w:eastAsia="zh-CN"/>
        </w:rPr>
        <w:t>不等，具体按《关于调整企业职工因病或非因工死亡后供养直系亲属</w:t>
      </w:r>
      <w:r w:rsidRPr="00D259B5">
        <w:rPr>
          <w:rFonts w:ascii="仿宋_GB2312" w:eastAsia="仿宋_GB2312" w:hAnsi="FangSong_GB2312" w:cs="FangSong_GB2312" w:hint="eastAsia"/>
          <w:color w:val="000000"/>
          <w:spacing w:val="-10"/>
          <w:sz w:val="32"/>
          <w:szCs w:val="32"/>
          <w:lang w:eastAsia="zh-CN"/>
        </w:rPr>
        <w:t>生活困难补助标准的通知》（鲁</w:t>
      </w:r>
      <w:proofErr w:type="gramStart"/>
      <w:r w:rsidRPr="00D259B5">
        <w:rPr>
          <w:rFonts w:ascii="仿宋_GB2312" w:eastAsia="仿宋_GB2312" w:hAnsi="FangSong_GB2312" w:cs="FangSong_GB2312" w:hint="eastAsia"/>
          <w:color w:val="000000"/>
          <w:spacing w:val="-10"/>
          <w:sz w:val="32"/>
          <w:szCs w:val="32"/>
          <w:lang w:eastAsia="zh-CN"/>
        </w:rPr>
        <w:t>人社发</w:t>
      </w:r>
      <w:proofErr w:type="gramEnd"/>
      <w:r w:rsidRPr="00D259B5">
        <w:rPr>
          <w:rFonts w:ascii="仿宋_GB2312" w:eastAsia="仿宋_GB2312" w:hAnsi="FangSong_GB2312" w:cs="FangSong_GB2312" w:hint="eastAsia"/>
          <w:color w:val="000000"/>
          <w:spacing w:val="-10"/>
          <w:sz w:val="32"/>
          <w:szCs w:val="32"/>
          <w:lang w:eastAsia="zh-CN"/>
        </w:rPr>
        <w:t>〔2018〕56</w:t>
      </w:r>
      <w:r w:rsidRPr="00D259B5">
        <w:rPr>
          <w:rFonts w:ascii="仿宋_GB2312" w:eastAsia="仿宋_GB2312" w:hint="eastAsia"/>
          <w:color w:val="000000"/>
          <w:spacing w:val="-78"/>
          <w:sz w:val="32"/>
          <w:szCs w:val="32"/>
          <w:lang w:eastAsia="zh-CN"/>
        </w:rPr>
        <w:t xml:space="preserve"> </w:t>
      </w:r>
      <w:r w:rsidRPr="00D259B5">
        <w:rPr>
          <w:rFonts w:ascii="仿宋_GB2312" w:eastAsia="仿宋_GB2312" w:hAnsi="FangSong_GB2312" w:cs="FangSong_GB2312" w:hint="eastAsia"/>
          <w:color w:val="000000"/>
          <w:spacing w:val="-3"/>
          <w:sz w:val="32"/>
          <w:szCs w:val="32"/>
          <w:lang w:eastAsia="zh-CN"/>
        </w:rPr>
        <w:t>号）执行。</w:t>
      </w:r>
    </w:p>
    <w:p w:rsidR="001A635C" w:rsidRPr="00D259B5" w:rsidRDefault="001A635C" w:rsidP="00D259B5">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5"/>
          <w:sz w:val="32"/>
          <w:szCs w:val="32"/>
          <w:lang w:eastAsia="zh-CN"/>
        </w:rPr>
        <w:t>目前，国家正在研究参保人员死亡待遇政策，待国家统一政策出</w:t>
      </w:r>
      <w:r w:rsidRPr="00D259B5">
        <w:rPr>
          <w:rFonts w:ascii="仿宋_GB2312" w:eastAsia="仿宋_GB2312" w:hAnsi="FangSong_GB2312" w:cs="FangSong_GB2312" w:hint="eastAsia"/>
          <w:color w:val="000000"/>
          <w:spacing w:val="-4"/>
          <w:sz w:val="32"/>
          <w:szCs w:val="32"/>
          <w:lang w:eastAsia="zh-CN"/>
        </w:rPr>
        <w:t>台后，我省将贯彻落实。</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14、养老保险中断缴费能领养老保险待遇吗？</w:t>
      </w:r>
    </w:p>
    <w:p w:rsidR="00D259B5" w:rsidRDefault="001A635C" w:rsidP="00D259B5">
      <w:pPr>
        <w:widowControl w:val="0"/>
        <w:adjustRightInd w:val="0"/>
        <w:snapToGrid w:val="0"/>
        <w:spacing w:before="0" w:after="0" w:line="360" w:lineRule="auto"/>
        <w:ind w:firstLineChars="200" w:firstLine="584"/>
        <w:jc w:val="left"/>
        <w:rPr>
          <w:rFonts w:ascii="仿宋_GB2312" w:eastAsia="仿宋_GB2312" w:hAnsi="FangSong_GB2312" w:cs="FangSong_GB2312" w:hint="eastAsia"/>
          <w:color w:val="000000"/>
          <w:spacing w:val="-4"/>
          <w:sz w:val="32"/>
          <w:szCs w:val="32"/>
          <w:lang w:eastAsia="zh-CN"/>
        </w:rPr>
      </w:pPr>
      <w:r w:rsidRPr="00D259B5">
        <w:rPr>
          <w:rFonts w:ascii="仿宋_GB2312" w:eastAsia="仿宋_GB2312" w:hAnsi="FangSong_GB2312" w:cs="FangSong_GB2312" w:hint="eastAsia"/>
          <w:color w:val="000000"/>
          <w:spacing w:val="-14"/>
          <w:sz w:val="32"/>
          <w:szCs w:val="32"/>
          <w:lang w:eastAsia="zh-CN"/>
        </w:rPr>
        <w:t>答：《社会保险法》第十六条规定：“参加基本养老保险的个人，</w:t>
      </w:r>
      <w:r w:rsidRPr="00D259B5">
        <w:rPr>
          <w:rFonts w:ascii="仿宋_GB2312" w:eastAsia="仿宋_GB2312" w:hAnsi="FangSong_GB2312" w:cs="FangSong_GB2312" w:hint="eastAsia"/>
          <w:color w:val="000000"/>
          <w:spacing w:val="-5"/>
          <w:sz w:val="32"/>
          <w:szCs w:val="32"/>
          <w:lang w:eastAsia="zh-CN"/>
        </w:rPr>
        <w:t>达到法定退休年龄时累计缴费满十五年的，按月领取基本养老金。”因此，对于参加基本养老保险的个人，达到法定退休年龄前，不论缴</w:t>
      </w:r>
      <w:r w:rsidRPr="00D259B5">
        <w:rPr>
          <w:rFonts w:ascii="仿宋_GB2312" w:eastAsia="仿宋_GB2312" w:hAnsi="FangSong_GB2312" w:cs="FangSong_GB2312" w:hint="eastAsia"/>
          <w:color w:val="000000"/>
          <w:spacing w:val="-4"/>
          <w:sz w:val="32"/>
          <w:szCs w:val="32"/>
          <w:lang w:eastAsia="zh-CN"/>
        </w:rPr>
        <w:t>费有多少次中断，只要累加起来的缴费年限超过</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int="eastAsia"/>
          <w:color w:val="000000"/>
          <w:spacing w:val="-3"/>
          <w:sz w:val="32"/>
          <w:szCs w:val="32"/>
          <w:lang w:eastAsia="zh-CN"/>
        </w:rPr>
        <w:t>15</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Ansi="FangSong_GB2312" w:cs="FangSong_GB2312" w:hint="eastAsia"/>
          <w:color w:val="000000"/>
          <w:spacing w:val="-4"/>
          <w:sz w:val="32"/>
          <w:szCs w:val="32"/>
          <w:lang w:eastAsia="zh-CN"/>
        </w:rPr>
        <w:t>年，都可以按规定办理退休手续，领取基本养老金。</w:t>
      </w:r>
    </w:p>
    <w:p w:rsidR="001A635C" w:rsidRPr="00D259B5" w:rsidRDefault="001A635C" w:rsidP="00D259B5">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5"/>
          <w:sz w:val="32"/>
          <w:szCs w:val="32"/>
          <w:lang w:eastAsia="zh-CN"/>
        </w:rPr>
        <w:t>需要说明的是，参保人员的基本养老金水平与缴费年限和缴费水平直接挂钩，多缴多得，</w:t>
      </w:r>
      <w:proofErr w:type="gramStart"/>
      <w:r w:rsidRPr="00D259B5">
        <w:rPr>
          <w:rFonts w:ascii="仿宋_GB2312" w:eastAsia="仿宋_GB2312" w:hAnsi="FangSong_GB2312" w:cs="FangSong_GB2312" w:hint="eastAsia"/>
          <w:color w:val="000000"/>
          <w:spacing w:val="-5"/>
          <w:sz w:val="32"/>
          <w:szCs w:val="32"/>
          <w:lang w:eastAsia="zh-CN"/>
        </w:rPr>
        <w:t>长缴多得</w:t>
      </w:r>
      <w:proofErr w:type="gramEnd"/>
      <w:r w:rsidRPr="00D259B5">
        <w:rPr>
          <w:rFonts w:ascii="仿宋_GB2312" w:eastAsia="仿宋_GB2312" w:hAnsi="FangSong_GB2312" w:cs="FangSong_GB2312" w:hint="eastAsia"/>
          <w:color w:val="000000"/>
          <w:spacing w:val="-5"/>
          <w:sz w:val="32"/>
          <w:szCs w:val="32"/>
          <w:lang w:eastAsia="zh-CN"/>
        </w:rPr>
        <w:t>，也就是说在同等条件下，缴费年</w:t>
      </w:r>
      <w:r w:rsidRPr="00D259B5">
        <w:rPr>
          <w:rFonts w:ascii="仿宋_GB2312" w:eastAsia="仿宋_GB2312" w:hAnsi="FangSong_GB2312" w:cs="FangSong_GB2312" w:hint="eastAsia"/>
          <w:color w:val="000000"/>
          <w:spacing w:val="-4"/>
          <w:sz w:val="32"/>
          <w:szCs w:val="32"/>
          <w:lang w:eastAsia="zh-CN"/>
        </w:rPr>
        <w:t>限越长，养老金水平越高。</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15、退休人员基本养老金的调整办法是怎样的？</w:t>
      </w:r>
    </w:p>
    <w:p w:rsidR="00D259B5" w:rsidRDefault="001A635C" w:rsidP="00D259B5">
      <w:pPr>
        <w:widowControl w:val="0"/>
        <w:adjustRightInd w:val="0"/>
        <w:snapToGrid w:val="0"/>
        <w:spacing w:before="0" w:after="0" w:line="360" w:lineRule="auto"/>
        <w:ind w:firstLineChars="200" w:firstLine="620"/>
        <w:jc w:val="left"/>
        <w:rPr>
          <w:rFonts w:ascii="仿宋_GB2312" w:eastAsia="仿宋_GB2312" w:hAnsi="FangSong_GB2312" w:cs="FangSong_GB2312" w:hint="eastAsia"/>
          <w:color w:val="000000"/>
          <w:spacing w:val="-4"/>
          <w:sz w:val="32"/>
          <w:szCs w:val="32"/>
          <w:lang w:eastAsia="zh-CN"/>
        </w:rPr>
      </w:pPr>
      <w:r w:rsidRPr="00D259B5">
        <w:rPr>
          <w:rFonts w:ascii="仿宋_GB2312" w:eastAsia="仿宋_GB2312" w:hAnsi="FangSong_GB2312" w:cs="FangSong_GB2312" w:hint="eastAsia"/>
          <w:color w:val="000000"/>
          <w:spacing w:val="-5"/>
          <w:sz w:val="32"/>
          <w:szCs w:val="32"/>
          <w:lang w:eastAsia="zh-CN"/>
        </w:rPr>
        <w:t>答：按照国家统一规定，调整企业和机关事业单位退休人员基本养老金,采取“定额调整、挂钩调整与适当倾斜”三结合的调整办法。其中，定额调整体现社会公平，同一地区各类退休人员调整标准保持</w:t>
      </w:r>
      <w:r w:rsidRPr="00D259B5">
        <w:rPr>
          <w:rFonts w:ascii="仿宋_GB2312" w:eastAsia="仿宋_GB2312" w:hAnsi="FangSong_GB2312" w:cs="FangSong_GB2312" w:hint="eastAsia"/>
          <w:color w:val="000000"/>
          <w:spacing w:val="-15"/>
          <w:sz w:val="32"/>
          <w:szCs w:val="32"/>
          <w:lang w:eastAsia="zh-CN"/>
        </w:rPr>
        <w:t>一致；挂钩调整体现“多缴多得”、“长缴</w:t>
      </w:r>
      <w:r w:rsidRPr="00D259B5">
        <w:rPr>
          <w:rFonts w:ascii="仿宋_GB2312" w:eastAsia="仿宋_GB2312" w:hAnsi="FangSong_GB2312" w:cs="FangSong_GB2312" w:hint="eastAsia"/>
          <w:color w:val="000000"/>
          <w:spacing w:val="-15"/>
          <w:sz w:val="32"/>
          <w:szCs w:val="32"/>
          <w:lang w:eastAsia="zh-CN"/>
        </w:rPr>
        <w:lastRenderedPageBreak/>
        <w:t>多得”的激励机制，可与退</w:t>
      </w:r>
      <w:r w:rsidRPr="00D259B5">
        <w:rPr>
          <w:rFonts w:ascii="仿宋_GB2312" w:eastAsia="仿宋_GB2312" w:hAnsi="FangSong_GB2312" w:cs="FangSong_GB2312" w:hint="eastAsia"/>
          <w:color w:val="000000"/>
          <w:spacing w:val="-10"/>
          <w:sz w:val="32"/>
          <w:szCs w:val="32"/>
          <w:lang w:eastAsia="zh-CN"/>
        </w:rPr>
        <w:t>休人员本人缴费年限、基本养老金水平等因素挂钩，使在职时多缴费、</w:t>
      </w:r>
      <w:r w:rsidRPr="00D259B5">
        <w:rPr>
          <w:rFonts w:ascii="仿宋_GB2312" w:eastAsia="仿宋_GB2312" w:hAnsi="FangSong_GB2312" w:cs="FangSong_GB2312" w:hint="eastAsia"/>
          <w:color w:val="000000"/>
          <w:spacing w:val="-5"/>
          <w:sz w:val="32"/>
          <w:szCs w:val="32"/>
          <w:lang w:eastAsia="zh-CN"/>
        </w:rPr>
        <w:t>长缴费的人员多得养老金；适当倾斜体现重点关怀，主要是对高龄退休人员予以照顾。具体调整方案，由各省结合本地区实际制定，报国</w:t>
      </w:r>
      <w:r w:rsidRPr="00D259B5">
        <w:rPr>
          <w:rFonts w:ascii="仿宋_GB2312" w:eastAsia="仿宋_GB2312" w:hAnsi="FangSong_GB2312" w:cs="FangSong_GB2312" w:hint="eastAsia"/>
          <w:color w:val="000000"/>
          <w:spacing w:val="-4"/>
          <w:sz w:val="32"/>
          <w:szCs w:val="32"/>
          <w:lang w:eastAsia="zh-CN"/>
        </w:rPr>
        <w:t>家备案。</w:t>
      </w:r>
    </w:p>
    <w:p w:rsidR="001A635C" w:rsidRPr="00D259B5" w:rsidRDefault="001A635C" w:rsidP="00D259B5">
      <w:pPr>
        <w:widowControl w:val="0"/>
        <w:adjustRightInd w:val="0"/>
        <w:snapToGrid w:val="0"/>
        <w:spacing w:before="0" w:after="0" w:line="360" w:lineRule="auto"/>
        <w:ind w:firstLineChars="200" w:firstLine="624"/>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4"/>
          <w:sz w:val="32"/>
          <w:szCs w:val="32"/>
          <w:lang w:eastAsia="zh-CN"/>
        </w:rPr>
        <w:t>近期，国家人力资源社会保障部、财政部印发了</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int="eastAsia"/>
          <w:color w:val="000000"/>
          <w:spacing w:val="-3"/>
          <w:sz w:val="32"/>
          <w:szCs w:val="32"/>
          <w:lang w:eastAsia="zh-CN"/>
        </w:rPr>
        <w:t>2021</w:t>
      </w:r>
      <w:r w:rsidRPr="00D259B5">
        <w:rPr>
          <w:rFonts w:ascii="仿宋_GB2312" w:eastAsia="仿宋_GB2312" w:hint="eastAsia"/>
          <w:color w:val="000000"/>
          <w:spacing w:val="-17"/>
          <w:sz w:val="32"/>
          <w:szCs w:val="32"/>
          <w:lang w:eastAsia="zh-CN"/>
        </w:rPr>
        <w:t xml:space="preserve"> </w:t>
      </w:r>
      <w:r w:rsidRPr="00D259B5">
        <w:rPr>
          <w:rFonts w:ascii="仿宋_GB2312" w:eastAsia="仿宋_GB2312" w:hAnsi="FangSong_GB2312" w:cs="FangSong_GB2312" w:hint="eastAsia"/>
          <w:color w:val="000000"/>
          <w:spacing w:val="-4"/>
          <w:sz w:val="32"/>
          <w:szCs w:val="32"/>
          <w:lang w:eastAsia="zh-CN"/>
        </w:rPr>
        <w:t>年调整退休人员基本养老金的通知，明确从</w:t>
      </w:r>
      <w:r w:rsidRPr="00D259B5">
        <w:rPr>
          <w:rFonts w:ascii="仿宋_GB2312" w:eastAsia="仿宋_GB2312" w:hint="eastAsia"/>
          <w:color w:val="000000"/>
          <w:spacing w:val="-56"/>
          <w:sz w:val="32"/>
          <w:szCs w:val="32"/>
          <w:lang w:eastAsia="zh-CN"/>
        </w:rPr>
        <w:t xml:space="preserve"> </w:t>
      </w:r>
      <w:r w:rsidRPr="00D259B5">
        <w:rPr>
          <w:rFonts w:ascii="仿宋_GB2312" w:eastAsia="仿宋_GB2312" w:hint="eastAsia"/>
          <w:color w:val="000000"/>
          <w:spacing w:val="-2"/>
          <w:sz w:val="32"/>
          <w:szCs w:val="32"/>
          <w:lang w:eastAsia="zh-CN"/>
        </w:rPr>
        <w:t>2021</w:t>
      </w:r>
      <w:r w:rsidRPr="00D259B5">
        <w:rPr>
          <w:rFonts w:ascii="仿宋_GB2312" w:eastAsia="仿宋_GB2312" w:hint="eastAsia"/>
          <w:color w:val="000000"/>
          <w:spacing w:val="-57"/>
          <w:sz w:val="32"/>
          <w:szCs w:val="32"/>
          <w:lang w:eastAsia="zh-CN"/>
        </w:rPr>
        <w:t xml:space="preserve"> </w:t>
      </w:r>
      <w:r w:rsidRPr="00D259B5">
        <w:rPr>
          <w:rFonts w:ascii="仿宋_GB2312" w:eastAsia="仿宋_GB2312" w:hAnsi="FangSong_GB2312" w:cs="FangSong_GB2312" w:hint="eastAsia"/>
          <w:color w:val="000000"/>
          <w:sz w:val="32"/>
          <w:szCs w:val="32"/>
          <w:lang w:eastAsia="zh-CN"/>
        </w:rPr>
        <w:t>年</w:t>
      </w:r>
      <w:r w:rsidRPr="00D259B5">
        <w:rPr>
          <w:rFonts w:ascii="仿宋_GB2312" w:eastAsia="仿宋_GB2312" w:hint="eastAsia"/>
          <w:color w:val="000000"/>
          <w:spacing w:val="-60"/>
          <w:sz w:val="32"/>
          <w:szCs w:val="32"/>
          <w:lang w:eastAsia="zh-CN"/>
        </w:rPr>
        <w:t xml:space="preserve"> </w:t>
      </w:r>
      <w:r w:rsidRPr="00D259B5">
        <w:rPr>
          <w:rFonts w:ascii="仿宋_GB2312" w:eastAsia="仿宋_GB2312" w:hint="eastAsia"/>
          <w:color w:val="000000"/>
          <w:sz w:val="32"/>
          <w:szCs w:val="32"/>
          <w:lang w:eastAsia="zh-CN"/>
        </w:rPr>
        <w:t>1</w:t>
      </w:r>
      <w:r w:rsidRPr="00D259B5">
        <w:rPr>
          <w:rFonts w:ascii="仿宋_GB2312" w:eastAsia="仿宋_GB2312" w:hint="eastAsia"/>
          <w:color w:val="000000"/>
          <w:spacing w:val="-60"/>
          <w:sz w:val="32"/>
          <w:szCs w:val="32"/>
          <w:lang w:eastAsia="zh-CN"/>
        </w:rPr>
        <w:t xml:space="preserve"> </w:t>
      </w:r>
      <w:r w:rsidRPr="00D259B5">
        <w:rPr>
          <w:rFonts w:ascii="仿宋_GB2312" w:eastAsia="仿宋_GB2312" w:hAnsi="FangSong_GB2312" w:cs="FangSong_GB2312" w:hint="eastAsia"/>
          <w:color w:val="000000"/>
          <w:sz w:val="32"/>
          <w:szCs w:val="32"/>
          <w:lang w:eastAsia="zh-CN"/>
        </w:rPr>
        <w:t>月</w:t>
      </w:r>
      <w:r w:rsidRPr="00D259B5">
        <w:rPr>
          <w:rFonts w:ascii="仿宋_GB2312" w:eastAsia="仿宋_GB2312" w:hint="eastAsia"/>
          <w:color w:val="000000"/>
          <w:spacing w:val="-60"/>
          <w:sz w:val="32"/>
          <w:szCs w:val="32"/>
          <w:lang w:eastAsia="zh-CN"/>
        </w:rPr>
        <w:t xml:space="preserve"> </w:t>
      </w:r>
      <w:r w:rsidRPr="00D259B5">
        <w:rPr>
          <w:rFonts w:ascii="仿宋_GB2312" w:eastAsia="仿宋_GB2312" w:hint="eastAsia"/>
          <w:color w:val="000000"/>
          <w:sz w:val="32"/>
          <w:szCs w:val="32"/>
          <w:lang w:eastAsia="zh-CN"/>
        </w:rPr>
        <w:t>1</w:t>
      </w:r>
      <w:r w:rsidRPr="00D259B5">
        <w:rPr>
          <w:rFonts w:ascii="仿宋_GB2312" w:eastAsia="仿宋_GB2312" w:hint="eastAsia"/>
          <w:color w:val="000000"/>
          <w:spacing w:val="-60"/>
          <w:sz w:val="32"/>
          <w:szCs w:val="32"/>
          <w:lang w:eastAsia="zh-CN"/>
        </w:rPr>
        <w:t xml:space="preserve"> </w:t>
      </w:r>
      <w:r w:rsidRPr="00D259B5">
        <w:rPr>
          <w:rFonts w:ascii="仿宋_GB2312" w:eastAsia="仿宋_GB2312" w:hAnsi="FangSong_GB2312" w:cs="FangSong_GB2312" w:hint="eastAsia"/>
          <w:color w:val="000000"/>
          <w:spacing w:val="-4"/>
          <w:sz w:val="32"/>
          <w:szCs w:val="32"/>
          <w:lang w:eastAsia="zh-CN"/>
        </w:rPr>
        <w:t>日起调整企业和机</w:t>
      </w:r>
      <w:r w:rsidRPr="00D259B5">
        <w:rPr>
          <w:rFonts w:ascii="仿宋_GB2312" w:eastAsia="仿宋_GB2312" w:hAnsi="FangSong_GB2312" w:cs="FangSong_GB2312" w:hint="eastAsia"/>
          <w:color w:val="000000"/>
          <w:spacing w:val="-5"/>
          <w:sz w:val="32"/>
          <w:szCs w:val="32"/>
          <w:lang w:eastAsia="zh-CN"/>
        </w:rPr>
        <w:t>关事业单位退休人员基本养老金。目前，我省正在开展测算论证和方</w:t>
      </w:r>
      <w:r w:rsidRPr="00D259B5">
        <w:rPr>
          <w:rFonts w:ascii="仿宋_GB2312" w:eastAsia="仿宋_GB2312" w:hAnsi="FangSong_GB2312" w:cs="FangSong_GB2312" w:hint="eastAsia"/>
          <w:color w:val="000000"/>
          <w:spacing w:val="-4"/>
          <w:sz w:val="32"/>
          <w:szCs w:val="32"/>
          <w:lang w:eastAsia="zh-CN"/>
        </w:rPr>
        <w:t>案拟定工作，经国家备案同意后，将抓紧组织落实。</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16、参保人员重复领取养老保险待遇的如何处理？</w:t>
      </w:r>
    </w:p>
    <w:p w:rsidR="00D259B5" w:rsidRDefault="001A635C" w:rsidP="00D259B5">
      <w:pPr>
        <w:widowControl w:val="0"/>
        <w:adjustRightInd w:val="0"/>
        <w:snapToGrid w:val="0"/>
        <w:spacing w:before="0" w:after="0" w:line="360" w:lineRule="auto"/>
        <w:ind w:firstLineChars="200" w:firstLine="640"/>
        <w:jc w:val="left"/>
        <w:rPr>
          <w:rFonts w:ascii="仿宋_GB2312" w:eastAsia="仿宋_GB2312" w:hAnsi="FangSong_GB2312" w:cs="FangSong_GB2312" w:hint="eastAsia"/>
          <w:color w:val="000000"/>
          <w:spacing w:val="-4"/>
          <w:sz w:val="32"/>
          <w:szCs w:val="32"/>
          <w:lang w:eastAsia="zh-CN"/>
        </w:rPr>
      </w:pPr>
      <w:r w:rsidRPr="00D259B5">
        <w:rPr>
          <w:rFonts w:ascii="仿宋_GB2312" w:eastAsia="仿宋_GB2312" w:hAnsi="FangSong_GB2312" w:cs="FangSong_GB2312" w:hint="eastAsia"/>
          <w:color w:val="000000"/>
          <w:sz w:val="32"/>
          <w:szCs w:val="32"/>
          <w:lang w:eastAsia="zh-CN"/>
        </w:rPr>
        <w:t>答：参保人员重复领取职工养老保险待遇(包括企业职工和机关事业单位养老保险)的，由社保经办机构与本人协商确定保留其中一</w:t>
      </w:r>
      <w:r w:rsidRPr="00D259B5">
        <w:rPr>
          <w:rFonts w:ascii="仿宋_GB2312" w:eastAsia="仿宋_GB2312" w:hAnsi="FangSong_GB2312" w:cs="FangSong_GB2312" w:hint="eastAsia"/>
          <w:color w:val="000000"/>
          <w:spacing w:val="-5"/>
          <w:sz w:val="32"/>
          <w:szCs w:val="32"/>
          <w:lang w:eastAsia="zh-CN"/>
        </w:rPr>
        <w:t>个基本养老保险关系并继续领取待遇，其他的养老保险关系应予以清理，个人账户剩余部分一次性退还给本人，重复领取的基本养老待遇应予以退还；本人不予退还的，从其被清理的养老保险个人账户余额中抵扣。养老保险个人账户余额不足以抵扣重复领取的基本养老保险待遇的，从继续发放的基本养老金中按一定比例逐月抵扣，直至重复</w:t>
      </w:r>
      <w:r w:rsidRPr="00D259B5">
        <w:rPr>
          <w:rFonts w:ascii="仿宋_GB2312" w:eastAsia="仿宋_GB2312" w:hAnsi="FangSong_GB2312" w:cs="FangSong_GB2312" w:hint="eastAsia"/>
          <w:color w:val="000000"/>
          <w:spacing w:val="-4"/>
          <w:sz w:val="32"/>
          <w:szCs w:val="32"/>
          <w:lang w:eastAsia="zh-CN"/>
        </w:rPr>
        <w:t>领取的养老保险待遇全部退还。</w:t>
      </w:r>
    </w:p>
    <w:p w:rsidR="00D259B5" w:rsidRPr="00D259B5" w:rsidRDefault="001A635C" w:rsidP="00D259B5">
      <w:pPr>
        <w:widowControl w:val="0"/>
        <w:adjustRightInd w:val="0"/>
        <w:snapToGrid w:val="0"/>
        <w:spacing w:before="0" w:after="0" w:line="360" w:lineRule="auto"/>
        <w:ind w:firstLineChars="200" w:firstLine="664"/>
        <w:jc w:val="left"/>
        <w:rPr>
          <w:rFonts w:ascii="仿宋_GB2312" w:eastAsia="仿宋_GB2312" w:hAnsi="FangSong_GB2312" w:cs="FangSong_GB2312" w:hint="eastAsia"/>
          <w:color w:val="000000"/>
          <w:spacing w:val="-5"/>
          <w:sz w:val="32"/>
          <w:szCs w:val="32"/>
          <w:lang w:eastAsia="zh-CN"/>
        </w:rPr>
      </w:pPr>
      <w:r w:rsidRPr="00D259B5">
        <w:rPr>
          <w:rFonts w:ascii="仿宋_GB2312" w:eastAsia="仿宋_GB2312" w:hAnsi="FangSong_GB2312" w:cs="FangSong_GB2312" w:hint="eastAsia"/>
          <w:color w:val="000000"/>
          <w:spacing w:val="6"/>
          <w:sz w:val="32"/>
          <w:szCs w:val="32"/>
          <w:lang w:eastAsia="zh-CN"/>
        </w:rPr>
        <w:t>参保人员重复领取职工基本养老保险待遇和居民养老保险待遇</w:t>
      </w:r>
      <w:r w:rsidRPr="00D259B5">
        <w:rPr>
          <w:rFonts w:ascii="仿宋_GB2312" w:eastAsia="仿宋_GB2312" w:hAnsi="FangSong_GB2312" w:cs="FangSong_GB2312" w:hint="eastAsia"/>
          <w:color w:val="000000"/>
          <w:spacing w:val="-5"/>
          <w:sz w:val="32"/>
          <w:szCs w:val="32"/>
          <w:lang w:eastAsia="zh-CN"/>
        </w:rPr>
        <w:t>的，社保经办机构应终止并解除其居民养老保险关系，除政府补贴外的个人账户余额退还本人。重复领取的居民养老</w:t>
      </w:r>
      <w:r w:rsidRPr="00D259B5">
        <w:rPr>
          <w:rFonts w:ascii="仿宋_GB2312" w:eastAsia="仿宋_GB2312" w:hAnsi="FangSong_GB2312" w:cs="FangSong_GB2312" w:hint="eastAsia"/>
          <w:color w:val="000000"/>
          <w:spacing w:val="-5"/>
          <w:sz w:val="32"/>
          <w:szCs w:val="32"/>
          <w:lang w:eastAsia="zh-CN"/>
        </w:rPr>
        <w:lastRenderedPageBreak/>
        <w:t>保险基础养老金应予以退还；本人不退还的，由社保经办机构从其居民基本养老保险个人</w:t>
      </w:r>
      <w:r w:rsidRPr="00D259B5">
        <w:rPr>
          <w:rFonts w:ascii="仿宋_GB2312" w:eastAsia="仿宋_GB2312" w:hAnsi="FangSong_GB2312" w:cs="FangSong_GB2312" w:hint="eastAsia"/>
          <w:color w:val="000000"/>
          <w:spacing w:val="-4"/>
          <w:sz w:val="32"/>
          <w:szCs w:val="32"/>
          <w:lang w:eastAsia="zh-CN"/>
        </w:rPr>
        <w:t>账户余额或其继续领取的职工基本养老保险待遇中抵扣。</w:t>
      </w:r>
    </w:p>
    <w:p w:rsidR="001A635C" w:rsidRPr="00D259B5" w:rsidRDefault="001A635C" w:rsidP="00D259B5">
      <w:pPr>
        <w:widowControl w:val="0"/>
        <w:adjustRightInd w:val="0"/>
        <w:snapToGrid w:val="0"/>
        <w:spacing w:before="0" w:after="0" w:line="360" w:lineRule="auto"/>
        <w:ind w:firstLineChars="200" w:firstLine="664"/>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6"/>
          <w:sz w:val="32"/>
          <w:szCs w:val="32"/>
          <w:lang w:eastAsia="zh-CN"/>
        </w:rPr>
        <w:t>参保人员重复领取养老保险待遇（含供养直系亲属生活困难补</w:t>
      </w:r>
      <w:r w:rsidRPr="00D259B5">
        <w:rPr>
          <w:rFonts w:ascii="仿宋_GB2312" w:eastAsia="仿宋_GB2312" w:hAnsi="FangSong_GB2312" w:cs="FangSong_GB2312" w:hint="eastAsia"/>
          <w:color w:val="000000"/>
          <w:spacing w:val="-5"/>
          <w:sz w:val="32"/>
          <w:szCs w:val="32"/>
          <w:lang w:eastAsia="zh-CN"/>
        </w:rPr>
        <w:t>助），逐月抵扣标准，原则上按继续发放的月基本养老金扣除当地城市居民最低生活保障标准后的标准确定，但最低抵扣标准不低于继续</w:t>
      </w:r>
      <w:r w:rsidRPr="00D259B5">
        <w:rPr>
          <w:rFonts w:ascii="仿宋_GB2312" w:eastAsia="仿宋_GB2312" w:hAnsi="FangSong_GB2312" w:cs="FangSong_GB2312" w:hint="eastAsia"/>
          <w:color w:val="000000"/>
          <w:spacing w:val="-4"/>
          <w:sz w:val="32"/>
          <w:szCs w:val="32"/>
          <w:lang w:eastAsia="zh-CN"/>
        </w:rPr>
        <w:t>发放的月基本养老金的</w:t>
      </w:r>
      <w:r w:rsidRPr="00D259B5">
        <w:rPr>
          <w:rFonts w:ascii="仿宋_GB2312" w:eastAsia="仿宋_GB2312" w:hint="eastAsia"/>
          <w:color w:val="000000"/>
          <w:spacing w:val="-79"/>
          <w:sz w:val="32"/>
          <w:szCs w:val="32"/>
          <w:lang w:eastAsia="zh-CN"/>
        </w:rPr>
        <w:t xml:space="preserve"> </w:t>
      </w:r>
      <w:r w:rsidRPr="00D259B5">
        <w:rPr>
          <w:rFonts w:ascii="仿宋_GB2312" w:eastAsia="仿宋_GB2312" w:hAnsi="FangSong_GB2312" w:cs="FangSong_GB2312" w:hint="eastAsia"/>
          <w:color w:val="000000"/>
          <w:spacing w:val="-2"/>
          <w:sz w:val="32"/>
          <w:szCs w:val="32"/>
          <w:lang w:eastAsia="zh-CN"/>
        </w:rPr>
        <w:t>20%。</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17、加入外国国籍退休人员的养老保险待遇如何处理？</w:t>
      </w:r>
    </w:p>
    <w:p w:rsidR="001A635C" w:rsidRPr="00D259B5" w:rsidRDefault="001A635C" w:rsidP="00D259B5">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5"/>
          <w:sz w:val="32"/>
          <w:szCs w:val="32"/>
          <w:lang w:eastAsia="zh-CN"/>
        </w:rPr>
        <w:t>答：根据《社会保险法》《国务院侨办侨政司、劳动人事部保险</w:t>
      </w:r>
      <w:r w:rsidRPr="00D259B5">
        <w:rPr>
          <w:rFonts w:ascii="仿宋_GB2312" w:eastAsia="仿宋_GB2312" w:hAnsi="FangSong_GB2312" w:cs="FangSong_GB2312" w:hint="eastAsia"/>
          <w:color w:val="000000"/>
          <w:spacing w:val="5"/>
          <w:sz w:val="32"/>
          <w:szCs w:val="32"/>
          <w:lang w:eastAsia="zh-CN"/>
        </w:rPr>
        <w:t>福利司关于获准出国定居的退休人员加入外国国籍后仍可享受退休</w:t>
      </w:r>
      <w:r w:rsidRPr="00D259B5">
        <w:rPr>
          <w:rFonts w:ascii="仿宋_GB2312" w:eastAsia="仿宋_GB2312" w:hAnsi="FangSong_GB2312" w:cs="FangSong_GB2312" w:hint="eastAsia"/>
          <w:color w:val="000000"/>
          <w:spacing w:val="-4"/>
          <w:sz w:val="32"/>
          <w:szCs w:val="32"/>
          <w:lang w:eastAsia="zh-CN"/>
        </w:rPr>
        <w:t>待遇的规定》(（85）侨政</w:t>
      </w:r>
      <w:proofErr w:type="gramStart"/>
      <w:r w:rsidRPr="00D259B5">
        <w:rPr>
          <w:rFonts w:ascii="仿宋_GB2312" w:eastAsia="仿宋_GB2312" w:hAnsi="FangSong_GB2312" w:cs="FangSong_GB2312" w:hint="eastAsia"/>
          <w:color w:val="000000"/>
          <w:spacing w:val="-4"/>
          <w:sz w:val="32"/>
          <w:szCs w:val="32"/>
          <w:lang w:eastAsia="zh-CN"/>
        </w:rPr>
        <w:t>政</w:t>
      </w:r>
      <w:proofErr w:type="gramEnd"/>
      <w:r w:rsidRPr="00D259B5">
        <w:rPr>
          <w:rFonts w:ascii="仿宋_GB2312" w:eastAsia="仿宋_GB2312" w:hAnsi="FangSong_GB2312" w:cs="FangSong_GB2312" w:hint="eastAsia"/>
          <w:color w:val="000000"/>
          <w:spacing w:val="-4"/>
          <w:sz w:val="32"/>
          <w:szCs w:val="32"/>
          <w:lang w:eastAsia="zh-CN"/>
        </w:rPr>
        <w:t>字第</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int="eastAsia"/>
          <w:color w:val="000000"/>
          <w:spacing w:val="-3"/>
          <w:sz w:val="32"/>
          <w:szCs w:val="32"/>
          <w:lang w:eastAsia="zh-CN"/>
        </w:rPr>
        <w:t>119</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Ansi="FangSong_GB2312" w:cs="FangSong_GB2312" w:hint="eastAsia"/>
          <w:color w:val="000000"/>
          <w:spacing w:val="-4"/>
          <w:sz w:val="32"/>
          <w:szCs w:val="32"/>
          <w:lang w:eastAsia="zh-CN"/>
        </w:rPr>
        <w:t>号）等规定，符合领取基本养</w:t>
      </w:r>
      <w:r w:rsidRPr="00D259B5">
        <w:rPr>
          <w:rFonts w:ascii="仿宋_GB2312" w:eastAsia="仿宋_GB2312" w:hAnsi="FangSong_GB2312" w:cs="FangSong_GB2312" w:hint="eastAsia"/>
          <w:color w:val="000000"/>
          <w:spacing w:val="-5"/>
          <w:sz w:val="32"/>
          <w:szCs w:val="32"/>
          <w:lang w:eastAsia="zh-CN"/>
        </w:rPr>
        <w:t>老金条件的退休人员，获得所在国（地区）准许定居或加入外国国籍</w:t>
      </w:r>
      <w:r w:rsidRPr="00D259B5">
        <w:rPr>
          <w:rFonts w:ascii="仿宋_GB2312" w:eastAsia="仿宋_GB2312" w:hAnsi="FangSong_GB2312" w:cs="FangSong_GB2312" w:hint="eastAsia"/>
          <w:color w:val="000000"/>
          <w:spacing w:val="-10"/>
          <w:sz w:val="32"/>
          <w:szCs w:val="32"/>
          <w:lang w:eastAsia="zh-CN"/>
        </w:rPr>
        <w:t>的，与国内退休人员享受同等待遇。相关资格验证事宜，按《外交部、</w:t>
      </w:r>
      <w:r w:rsidRPr="00D259B5">
        <w:rPr>
          <w:rFonts w:ascii="仿宋_GB2312" w:eastAsia="仿宋_GB2312" w:hAnsi="FangSong_GB2312" w:cs="FangSong_GB2312" w:hint="eastAsia"/>
          <w:color w:val="000000"/>
          <w:spacing w:val="-5"/>
          <w:sz w:val="32"/>
          <w:szCs w:val="32"/>
          <w:lang w:eastAsia="zh-CN"/>
        </w:rPr>
        <w:t>财政部、人力资源和社会保障部关于在境外居住人员领取养老金资格</w:t>
      </w:r>
      <w:r w:rsidRPr="00D259B5">
        <w:rPr>
          <w:rFonts w:ascii="仿宋_GB2312" w:eastAsia="仿宋_GB2312" w:hAnsi="FangSong_GB2312" w:cs="FangSong_GB2312" w:hint="eastAsia"/>
          <w:color w:val="000000"/>
          <w:spacing w:val="-3"/>
          <w:sz w:val="32"/>
          <w:szCs w:val="32"/>
          <w:lang w:eastAsia="zh-CN"/>
        </w:rPr>
        <w:t>审核表有关问题的通知》(领外函〔2015〕660</w:t>
      </w:r>
      <w:r w:rsidRPr="00D259B5">
        <w:rPr>
          <w:rFonts w:ascii="仿宋_GB2312" w:eastAsia="仿宋_GB2312" w:hint="eastAsia"/>
          <w:color w:val="000000"/>
          <w:spacing w:val="-78"/>
          <w:sz w:val="32"/>
          <w:szCs w:val="32"/>
          <w:lang w:eastAsia="zh-CN"/>
        </w:rPr>
        <w:t xml:space="preserve"> </w:t>
      </w:r>
      <w:r w:rsidRPr="00D259B5">
        <w:rPr>
          <w:rFonts w:ascii="仿宋_GB2312" w:eastAsia="仿宋_GB2312" w:hAnsi="FangSong_GB2312" w:cs="FangSong_GB2312" w:hint="eastAsia"/>
          <w:color w:val="000000"/>
          <w:spacing w:val="-3"/>
          <w:sz w:val="32"/>
          <w:szCs w:val="32"/>
          <w:lang w:eastAsia="zh-CN"/>
        </w:rPr>
        <w:t>号）规定执行。</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18、享受居民养老保险待遇的条件是什么？</w:t>
      </w:r>
    </w:p>
    <w:p w:rsidR="001A635C" w:rsidRPr="00D259B5" w:rsidRDefault="001A635C" w:rsidP="00D259B5">
      <w:pPr>
        <w:widowControl w:val="0"/>
        <w:adjustRightInd w:val="0"/>
        <w:snapToGrid w:val="0"/>
        <w:spacing w:before="0" w:after="0" w:line="360" w:lineRule="auto"/>
        <w:ind w:firstLineChars="200" w:firstLine="624"/>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4"/>
          <w:sz w:val="32"/>
          <w:szCs w:val="32"/>
          <w:lang w:eastAsia="zh-CN"/>
        </w:rPr>
        <w:t>答：年满</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int="eastAsia"/>
          <w:color w:val="000000"/>
          <w:spacing w:val="-3"/>
          <w:sz w:val="32"/>
          <w:szCs w:val="32"/>
          <w:lang w:eastAsia="zh-CN"/>
        </w:rPr>
        <w:t>60</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Ansi="FangSong_GB2312" w:cs="FangSong_GB2312" w:hint="eastAsia"/>
          <w:color w:val="000000"/>
          <w:spacing w:val="-4"/>
          <w:sz w:val="32"/>
          <w:szCs w:val="32"/>
          <w:lang w:eastAsia="zh-CN"/>
        </w:rPr>
        <w:t>周岁、按规定参保缴费、未享受国家规定的其他养</w:t>
      </w:r>
      <w:r w:rsidRPr="00D259B5">
        <w:rPr>
          <w:rFonts w:ascii="仿宋_GB2312" w:eastAsia="仿宋_GB2312" w:hAnsi="FangSong_GB2312" w:cs="FangSong_GB2312" w:hint="eastAsia"/>
          <w:color w:val="000000"/>
          <w:spacing w:val="-15"/>
          <w:sz w:val="32"/>
          <w:szCs w:val="32"/>
          <w:lang w:eastAsia="zh-CN"/>
        </w:rPr>
        <w:t>老保险待遇的居民，可以按月领取养老金。（鲁政发〔2013〕13</w:t>
      </w:r>
      <w:r w:rsidRPr="00D259B5">
        <w:rPr>
          <w:rFonts w:ascii="仿宋_GB2312" w:eastAsia="仿宋_GB2312" w:hint="eastAsia"/>
          <w:color w:val="000000"/>
          <w:spacing w:val="-78"/>
          <w:sz w:val="32"/>
          <w:szCs w:val="32"/>
          <w:lang w:eastAsia="zh-CN"/>
        </w:rPr>
        <w:t xml:space="preserve"> </w:t>
      </w:r>
      <w:r w:rsidRPr="00D259B5">
        <w:rPr>
          <w:rFonts w:ascii="仿宋_GB2312" w:eastAsia="仿宋_GB2312" w:hAnsi="FangSong_GB2312" w:cs="FangSong_GB2312" w:hint="eastAsia"/>
          <w:color w:val="000000"/>
          <w:spacing w:val="-19"/>
          <w:sz w:val="32"/>
          <w:szCs w:val="32"/>
          <w:lang w:eastAsia="zh-CN"/>
        </w:rPr>
        <w:t>号《山</w:t>
      </w:r>
      <w:r w:rsidRPr="00D259B5">
        <w:rPr>
          <w:rFonts w:ascii="仿宋_GB2312" w:eastAsia="仿宋_GB2312" w:hAnsi="FangSong_GB2312" w:cs="FangSong_GB2312" w:hint="eastAsia"/>
          <w:color w:val="000000"/>
          <w:spacing w:val="-10"/>
          <w:sz w:val="32"/>
          <w:szCs w:val="32"/>
          <w:lang w:eastAsia="zh-CN"/>
        </w:rPr>
        <w:t>东省人民政府关于建立居民基本养老保险制度的实施意见》）</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int="eastAsia"/>
          <w:b/>
          <w:color w:val="000000"/>
          <w:sz w:val="32"/>
          <w:szCs w:val="32"/>
          <w:lang w:eastAsia="zh-CN"/>
        </w:rPr>
      </w:pPr>
      <w:r w:rsidRPr="00D259B5">
        <w:rPr>
          <w:rFonts w:ascii="仿宋_GB2312" w:eastAsia="仿宋_GB2312" w:hAnsi="FangSong_GB2312" w:cs="FangSong_GB2312" w:hint="eastAsia"/>
          <w:b/>
          <w:color w:val="000000"/>
          <w:spacing w:val="-3"/>
          <w:sz w:val="32"/>
          <w:szCs w:val="32"/>
          <w:lang w:eastAsia="zh-CN"/>
        </w:rPr>
        <w:t>19、居民养老保险待遇有哪几部分组成？</w:t>
      </w:r>
    </w:p>
    <w:p w:rsidR="001A635C" w:rsidRPr="00D259B5" w:rsidRDefault="001A635C" w:rsidP="00D259B5">
      <w:pPr>
        <w:widowControl w:val="0"/>
        <w:adjustRightInd w:val="0"/>
        <w:snapToGrid w:val="0"/>
        <w:spacing w:before="0" w:after="0" w:line="360" w:lineRule="auto"/>
        <w:ind w:firstLineChars="200" w:firstLine="620"/>
        <w:jc w:val="left"/>
        <w:rPr>
          <w:rFonts w:ascii="仿宋_GB2312" w:eastAsia="仿宋_GB2312" w:hint="eastAsia"/>
          <w:color w:val="000000"/>
          <w:sz w:val="32"/>
          <w:szCs w:val="32"/>
          <w:lang w:eastAsia="zh-CN"/>
        </w:rPr>
      </w:pPr>
      <w:r w:rsidRPr="00D259B5">
        <w:rPr>
          <w:rFonts w:ascii="仿宋_GB2312" w:eastAsia="仿宋_GB2312" w:hAnsi="FangSong_GB2312" w:cs="FangSong_GB2312" w:hint="eastAsia"/>
          <w:color w:val="000000"/>
          <w:spacing w:val="-5"/>
          <w:sz w:val="32"/>
          <w:szCs w:val="32"/>
          <w:lang w:eastAsia="zh-CN"/>
        </w:rPr>
        <w:lastRenderedPageBreak/>
        <w:t>答：居民养老保险养老金待遇由基础养老金与个人账户养老金两</w:t>
      </w:r>
      <w:r w:rsidRPr="00D259B5">
        <w:rPr>
          <w:rFonts w:ascii="仿宋_GB2312" w:eastAsia="仿宋_GB2312" w:hAnsi="FangSong_GB2312" w:cs="FangSong_GB2312" w:hint="eastAsia"/>
          <w:color w:val="000000"/>
          <w:spacing w:val="-10"/>
          <w:sz w:val="32"/>
          <w:szCs w:val="32"/>
          <w:lang w:eastAsia="zh-CN"/>
        </w:rPr>
        <w:t>部分组成，支付终身。（鲁政发〔2013〕13</w:t>
      </w:r>
      <w:r w:rsidRPr="00D259B5">
        <w:rPr>
          <w:rFonts w:ascii="仿宋_GB2312" w:eastAsia="仿宋_GB2312" w:hint="eastAsia"/>
          <w:color w:val="000000"/>
          <w:spacing w:val="-26"/>
          <w:sz w:val="32"/>
          <w:szCs w:val="32"/>
          <w:lang w:eastAsia="zh-CN"/>
        </w:rPr>
        <w:t xml:space="preserve"> </w:t>
      </w:r>
      <w:r w:rsidRPr="00D259B5">
        <w:rPr>
          <w:rFonts w:ascii="仿宋_GB2312" w:eastAsia="仿宋_GB2312" w:hAnsi="FangSong_GB2312" w:cs="FangSong_GB2312" w:hint="eastAsia"/>
          <w:color w:val="000000"/>
          <w:spacing w:val="-4"/>
          <w:sz w:val="32"/>
          <w:szCs w:val="32"/>
          <w:lang w:eastAsia="zh-CN"/>
        </w:rPr>
        <w:t>号《山东省人民政府关于</w:t>
      </w:r>
      <w:r w:rsidRPr="00D259B5">
        <w:rPr>
          <w:rFonts w:ascii="仿宋_GB2312" w:eastAsia="仿宋_GB2312" w:hAnsi="FangSong_GB2312" w:cs="FangSong_GB2312" w:hint="eastAsia"/>
          <w:color w:val="000000"/>
          <w:spacing w:val="-12"/>
          <w:sz w:val="32"/>
          <w:szCs w:val="32"/>
          <w:lang w:eastAsia="zh-CN"/>
        </w:rPr>
        <w:t>建立居民基本养老保险制度的实施意见》）</w:t>
      </w:r>
    </w:p>
    <w:p w:rsidR="001A635C" w:rsidRPr="00D259B5" w:rsidRDefault="001A635C" w:rsidP="00D259B5">
      <w:pPr>
        <w:widowControl w:val="0"/>
        <w:adjustRightInd w:val="0"/>
        <w:snapToGrid w:val="0"/>
        <w:spacing w:before="0" w:after="0" w:line="360" w:lineRule="auto"/>
        <w:ind w:firstLineChars="200" w:firstLine="631"/>
        <w:jc w:val="left"/>
        <w:rPr>
          <w:rFonts w:ascii="仿宋_GB2312" w:eastAsia="仿宋_GB2312" w:hAnsi="FangSong_GB2312" w:cs="FangSong_GB2312" w:hint="eastAsia"/>
          <w:b/>
          <w:color w:val="000000"/>
          <w:spacing w:val="-3"/>
          <w:sz w:val="32"/>
          <w:szCs w:val="32"/>
          <w:lang w:eastAsia="zh-CN"/>
        </w:rPr>
      </w:pPr>
      <w:r w:rsidRPr="00D259B5">
        <w:rPr>
          <w:rFonts w:ascii="仿宋_GB2312" w:eastAsia="仿宋_GB2312" w:hAnsi="FangSong_GB2312" w:cs="FangSong_GB2312" w:hint="eastAsia"/>
          <w:b/>
          <w:color w:val="000000"/>
          <w:spacing w:val="-3"/>
          <w:sz w:val="32"/>
          <w:szCs w:val="32"/>
          <w:lang w:eastAsia="zh-CN"/>
        </w:rPr>
        <w:t>20、参保居民如何办理居民养老保险待遇领取手续？</w:t>
      </w:r>
    </w:p>
    <w:p w:rsidR="005A4126" w:rsidRPr="00D259B5" w:rsidRDefault="001A635C" w:rsidP="00D259B5">
      <w:pPr>
        <w:widowControl w:val="0"/>
        <w:adjustRightInd w:val="0"/>
        <w:snapToGrid w:val="0"/>
        <w:spacing w:before="0" w:after="0" w:line="360" w:lineRule="auto"/>
        <w:ind w:firstLineChars="200" w:firstLine="624"/>
        <w:jc w:val="left"/>
        <w:rPr>
          <w:rFonts w:ascii="仿宋_GB2312" w:eastAsia="仿宋_GB2312" w:hint="eastAsia"/>
          <w:sz w:val="32"/>
          <w:szCs w:val="32"/>
          <w:lang w:eastAsia="zh-CN"/>
        </w:rPr>
      </w:pPr>
      <w:r w:rsidRPr="00D259B5">
        <w:rPr>
          <w:rFonts w:ascii="仿宋_GB2312" w:eastAsia="仿宋_GB2312" w:hAnsi="FangSong_GB2312" w:cs="FangSong_GB2312" w:hint="eastAsia"/>
          <w:color w:val="000000"/>
          <w:spacing w:val="-4"/>
          <w:sz w:val="32"/>
          <w:szCs w:val="32"/>
          <w:lang w:eastAsia="zh-CN"/>
        </w:rPr>
        <w:t>答：参保人在到达</w:t>
      </w:r>
      <w:r w:rsidRPr="00D259B5">
        <w:rPr>
          <w:rFonts w:ascii="仿宋_GB2312" w:eastAsia="仿宋_GB2312" w:hint="eastAsia"/>
          <w:color w:val="000000"/>
          <w:spacing w:val="-18"/>
          <w:sz w:val="32"/>
          <w:szCs w:val="32"/>
          <w:lang w:eastAsia="zh-CN"/>
        </w:rPr>
        <w:t xml:space="preserve"> </w:t>
      </w:r>
      <w:r w:rsidRPr="00D259B5">
        <w:rPr>
          <w:rFonts w:ascii="仿宋_GB2312" w:eastAsia="仿宋_GB2312" w:hint="eastAsia"/>
          <w:color w:val="000000"/>
          <w:spacing w:val="-3"/>
          <w:sz w:val="32"/>
          <w:szCs w:val="32"/>
          <w:lang w:eastAsia="zh-CN"/>
        </w:rPr>
        <w:t>60</w:t>
      </w:r>
      <w:r w:rsidRPr="00D259B5">
        <w:rPr>
          <w:rFonts w:ascii="仿宋_GB2312" w:eastAsia="仿宋_GB2312" w:hint="eastAsia"/>
          <w:color w:val="000000"/>
          <w:spacing w:val="-18"/>
          <w:sz w:val="32"/>
          <w:szCs w:val="32"/>
          <w:lang w:eastAsia="zh-CN"/>
        </w:rPr>
        <w:t xml:space="preserve"> </w:t>
      </w:r>
      <w:proofErr w:type="gramStart"/>
      <w:r w:rsidRPr="00D259B5">
        <w:rPr>
          <w:rFonts w:ascii="仿宋_GB2312" w:eastAsia="仿宋_GB2312" w:hAnsi="FangSong_GB2312" w:cs="FangSong_GB2312" w:hint="eastAsia"/>
          <w:color w:val="000000"/>
          <w:spacing w:val="-4"/>
          <w:sz w:val="32"/>
          <w:szCs w:val="32"/>
          <w:lang w:eastAsia="zh-CN"/>
        </w:rPr>
        <w:t>周岁或</w:t>
      </w:r>
      <w:proofErr w:type="gramEnd"/>
      <w:r w:rsidRPr="00D259B5">
        <w:rPr>
          <w:rFonts w:ascii="仿宋_GB2312" w:eastAsia="仿宋_GB2312" w:hAnsi="FangSong_GB2312" w:cs="FangSong_GB2312" w:hint="eastAsia"/>
          <w:color w:val="000000"/>
          <w:spacing w:val="-4"/>
          <w:sz w:val="32"/>
          <w:szCs w:val="32"/>
          <w:lang w:eastAsia="zh-CN"/>
        </w:rPr>
        <w:t>符合待遇领取条件的当月，可以通</w:t>
      </w:r>
      <w:r w:rsidRPr="00D259B5">
        <w:rPr>
          <w:rFonts w:ascii="仿宋_GB2312" w:eastAsia="仿宋_GB2312" w:hAnsi="FangSong_GB2312" w:cs="FangSong_GB2312" w:hint="eastAsia"/>
          <w:color w:val="000000"/>
          <w:spacing w:val="-5"/>
          <w:sz w:val="32"/>
          <w:szCs w:val="32"/>
          <w:lang w:eastAsia="zh-CN"/>
        </w:rPr>
        <w:t>过各市的网站、自助终端、移动应用等互联网服务渠道，上</w:t>
      </w:r>
      <w:proofErr w:type="gramStart"/>
      <w:r w:rsidRPr="00D259B5">
        <w:rPr>
          <w:rFonts w:ascii="仿宋_GB2312" w:eastAsia="仿宋_GB2312" w:hAnsi="FangSong_GB2312" w:cs="FangSong_GB2312" w:hint="eastAsia"/>
          <w:color w:val="000000"/>
          <w:spacing w:val="-5"/>
          <w:sz w:val="32"/>
          <w:szCs w:val="32"/>
          <w:lang w:eastAsia="zh-CN"/>
        </w:rPr>
        <w:t>传有效</w:t>
      </w:r>
      <w:proofErr w:type="gramEnd"/>
      <w:r w:rsidRPr="00D259B5">
        <w:rPr>
          <w:rFonts w:ascii="仿宋_GB2312" w:eastAsia="仿宋_GB2312" w:hAnsi="FangSong_GB2312" w:cs="FangSong_GB2312" w:hint="eastAsia"/>
          <w:color w:val="000000"/>
          <w:spacing w:val="-5"/>
          <w:sz w:val="32"/>
          <w:szCs w:val="32"/>
          <w:lang w:eastAsia="zh-CN"/>
        </w:rPr>
        <w:t>身份证件，提出待遇领取申请，办理养老金领取手续。也可持有效身份证件到户籍</w:t>
      </w:r>
      <w:proofErr w:type="gramStart"/>
      <w:r w:rsidRPr="00D259B5">
        <w:rPr>
          <w:rFonts w:ascii="仿宋_GB2312" w:eastAsia="仿宋_GB2312" w:hAnsi="FangSong_GB2312" w:cs="FangSong_GB2312" w:hint="eastAsia"/>
          <w:color w:val="000000"/>
          <w:spacing w:val="-5"/>
          <w:sz w:val="32"/>
          <w:szCs w:val="32"/>
          <w:lang w:eastAsia="zh-CN"/>
        </w:rPr>
        <w:t>所在地居保经办</w:t>
      </w:r>
      <w:proofErr w:type="gramEnd"/>
      <w:r w:rsidRPr="00D259B5">
        <w:rPr>
          <w:rFonts w:ascii="仿宋_GB2312" w:eastAsia="仿宋_GB2312" w:hAnsi="FangSong_GB2312" w:cs="FangSong_GB2312" w:hint="eastAsia"/>
          <w:color w:val="000000"/>
          <w:spacing w:val="-5"/>
          <w:sz w:val="32"/>
          <w:szCs w:val="32"/>
          <w:lang w:eastAsia="zh-CN"/>
        </w:rPr>
        <w:t>机构申请办理养老金领取手续。（</w:t>
      </w:r>
      <w:proofErr w:type="gramStart"/>
      <w:r w:rsidRPr="00D259B5">
        <w:rPr>
          <w:rFonts w:ascii="仿宋_GB2312" w:eastAsia="仿宋_GB2312" w:hAnsi="FangSong_GB2312" w:cs="FangSong_GB2312" w:hint="eastAsia"/>
          <w:color w:val="000000"/>
          <w:spacing w:val="-5"/>
          <w:sz w:val="32"/>
          <w:szCs w:val="32"/>
          <w:lang w:eastAsia="zh-CN"/>
        </w:rPr>
        <w:t>人社部</w:t>
      </w:r>
      <w:proofErr w:type="gramEnd"/>
      <w:r w:rsidRPr="00D259B5">
        <w:rPr>
          <w:rFonts w:ascii="仿宋_GB2312" w:eastAsia="仿宋_GB2312" w:hAnsi="FangSong_GB2312" w:cs="FangSong_GB2312" w:hint="eastAsia"/>
          <w:color w:val="000000"/>
          <w:spacing w:val="-3"/>
          <w:sz w:val="32"/>
          <w:szCs w:val="32"/>
          <w:lang w:eastAsia="zh-CN"/>
        </w:rPr>
        <w:t>发[2019]84</w:t>
      </w:r>
      <w:r w:rsidRPr="00D259B5">
        <w:rPr>
          <w:rFonts w:ascii="仿宋_GB2312" w:eastAsia="仿宋_GB2312" w:hint="eastAsia"/>
          <w:color w:val="000000"/>
          <w:spacing w:val="-78"/>
          <w:sz w:val="32"/>
          <w:szCs w:val="32"/>
          <w:lang w:eastAsia="zh-CN"/>
        </w:rPr>
        <w:t xml:space="preserve"> </w:t>
      </w:r>
      <w:r w:rsidRPr="00D259B5">
        <w:rPr>
          <w:rFonts w:ascii="仿宋_GB2312" w:eastAsia="仿宋_GB2312" w:hAnsi="FangSong_GB2312" w:cs="FangSong_GB2312" w:hint="eastAsia"/>
          <w:color w:val="000000"/>
          <w:spacing w:val="-12"/>
          <w:sz w:val="32"/>
          <w:szCs w:val="32"/>
          <w:lang w:eastAsia="zh-CN"/>
        </w:rPr>
        <w:t>号《城乡居民基本养老保险经办规程》）</w:t>
      </w:r>
    </w:p>
    <w:sectPr w:rsidR="005A4126" w:rsidRPr="00D259B5" w:rsidSect="005A4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28" w:rsidRDefault="006B2D28" w:rsidP="001A635C">
      <w:pPr>
        <w:spacing w:before="0" w:after="0"/>
      </w:pPr>
      <w:r>
        <w:separator/>
      </w:r>
    </w:p>
  </w:endnote>
  <w:endnote w:type="continuationSeparator" w:id="0">
    <w:p w:rsidR="006B2D28" w:rsidRDefault="006B2D28" w:rsidP="001A63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QOHUTN+FZXBSJW--GB1-0">
    <w:altName w:val="Arial Unicode MS"/>
    <w:charset w:val="01"/>
    <w:family w:val="modern"/>
    <w:pitch w:val="variable"/>
    <w:sig w:usb0="00000000" w:usb1="01010101" w:usb2="01010101" w:usb3="01010101" w:csb0="01010101" w:csb1="01010101"/>
  </w:font>
  <w:font w:name="FangSong_GB2312">
    <w:panose1 w:val="00000000000000000000"/>
    <w:charset w:val="01"/>
    <w:family w:val="auto"/>
    <w:notTrueType/>
    <w:pitch w:val="default"/>
    <w:sig w:usb0="01010101" w:usb1="01010101"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28" w:rsidRDefault="006B2D28" w:rsidP="001A635C">
      <w:pPr>
        <w:spacing w:before="0" w:after="0"/>
      </w:pPr>
      <w:r>
        <w:separator/>
      </w:r>
    </w:p>
  </w:footnote>
  <w:footnote w:type="continuationSeparator" w:id="0">
    <w:p w:rsidR="006B2D28" w:rsidRDefault="006B2D28" w:rsidP="001A635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35C"/>
    <w:rsid w:val="001A635C"/>
    <w:rsid w:val="005A4126"/>
    <w:rsid w:val="005F018F"/>
    <w:rsid w:val="006B2D28"/>
    <w:rsid w:val="00A919FA"/>
    <w:rsid w:val="00D259B5"/>
    <w:rsid w:val="00E82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635C"/>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35C"/>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semiHidden/>
    <w:rsid w:val="001A635C"/>
    <w:rPr>
      <w:sz w:val="18"/>
      <w:szCs w:val="18"/>
    </w:rPr>
  </w:style>
  <w:style w:type="paragraph" w:styleId="a4">
    <w:name w:val="footer"/>
    <w:basedOn w:val="a"/>
    <w:link w:val="Char0"/>
    <w:uiPriority w:val="99"/>
    <w:semiHidden/>
    <w:unhideWhenUsed/>
    <w:rsid w:val="001A635C"/>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semiHidden/>
    <w:rsid w:val="001A63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359</Words>
  <Characters>2050</Characters>
  <Application>Microsoft Office Word</Application>
  <DocSecurity>0</DocSecurity>
  <Lines>17</Lines>
  <Paragraphs>4</Paragraphs>
  <ScaleCrop>false</ScaleCrop>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2021-06-15T01:46:00Z</dcterms:created>
  <dcterms:modified xsi:type="dcterms:W3CDTF">2021-06-15T02:58:00Z</dcterms:modified>
</cp:coreProperties>
</file>